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405" w:type="dxa"/>
        <w:tblCellMar>
          <w:left w:w="0" w:type="dxa"/>
          <w:right w:w="0" w:type="dxa"/>
        </w:tblCellMar>
        <w:tblLook w:val="04A0"/>
      </w:tblPr>
      <w:tblGrid>
        <w:gridCol w:w="1770"/>
        <w:gridCol w:w="7529"/>
        <w:gridCol w:w="1770"/>
        <w:gridCol w:w="7336"/>
      </w:tblGrid>
      <w:tr w:rsidR="00DF3EF3" w:rsidRPr="00DF3EF3" w:rsidTr="00DF3EF3">
        <w:tc>
          <w:tcPr>
            <w:tcW w:w="1770" w:type="dxa"/>
            <w:tcBorders>
              <w:top w:val="single" w:sz="6" w:space="0" w:color="E8E8E8"/>
              <w:left w:val="single" w:sz="6" w:space="0" w:color="E8E8E8"/>
              <w:bottom w:val="single" w:sz="6" w:space="0" w:color="E8E8E8"/>
              <w:right w:val="single" w:sz="6" w:space="0" w:color="E8E8E8"/>
            </w:tcBorders>
            <w:shd w:val="clear" w:color="auto" w:fill="F4F5F9"/>
            <w:tcMar>
              <w:top w:w="300" w:type="dxa"/>
              <w:left w:w="450" w:type="dxa"/>
              <w:bottom w:w="300" w:type="dxa"/>
              <w:right w:w="450" w:type="dxa"/>
            </w:tcMar>
            <w:vAlign w:val="center"/>
            <w:hideMark/>
          </w:tcPr>
          <w:p w:rsidR="00DF3EF3" w:rsidRPr="00DF3EF3" w:rsidRDefault="00DF3EF3" w:rsidP="00DF3EF3">
            <w:pPr>
              <w:widowControl/>
              <w:jc w:val="center"/>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索 引 号</w:t>
            </w:r>
          </w:p>
        </w:tc>
        <w:tc>
          <w:tcPr>
            <w:tcW w:w="0" w:type="auto"/>
            <w:tcBorders>
              <w:top w:val="single" w:sz="6" w:space="0" w:color="E8E8E8"/>
              <w:left w:val="single" w:sz="6" w:space="0" w:color="E8E8E8"/>
              <w:bottom w:val="single" w:sz="6" w:space="0" w:color="E8E8E8"/>
              <w:right w:val="single" w:sz="6" w:space="0" w:color="E8E8E8"/>
            </w:tcBorders>
            <w:tcMar>
              <w:top w:w="300" w:type="dxa"/>
              <w:left w:w="450" w:type="dxa"/>
              <w:bottom w:w="300" w:type="dxa"/>
              <w:right w:w="450" w:type="dxa"/>
            </w:tcMar>
            <w:vAlign w:val="center"/>
            <w:hideMark/>
          </w:tcPr>
          <w:p w:rsidR="00DF3EF3" w:rsidRPr="00DF3EF3" w:rsidRDefault="00DF3EF3" w:rsidP="00DF3EF3">
            <w:pPr>
              <w:widowControl/>
              <w:jc w:val="left"/>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FJ00102-0200-2021-00277</w:t>
            </w:r>
          </w:p>
        </w:tc>
        <w:tc>
          <w:tcPr>
            <w:tcW w:w="1770" w:type="dxa"/>
            <w:tcBorders>
              <w:top w:val="single" w:sz="6" w:space="0" w:color="E8E8E8"/>
              <w:left w:val="single" w:sz="6" w:space="0" w:color="E8E8E8"/>
              <w:bottom w:val="single" w:sz="6" w:space="0" w:color="E8E8E8"/>
              <w:right w:val="single" w:sz="6" w:space="0" w:color="E8E8E8"/>
            </w:tcBorders>
            <w:shd w:val="clear" w:color="auto" w:fill="F4F5F9"/>
            <w:tcMar>
              <w:top w:w="300" w:type="dxa"/>
              <w:left w:w="450" w:type="dxa"/>
              <w:bottom w:w="300" w:type="dxa"/>
              <w:right w:w="450" w:type="dxa"/>
            </w:tcMar>
            <w:vAlign w:val="center"/>
            <w:hideMark/>
          </w:tcPr>
          <w:p w:rsidR="00DF3EF3" w:rsidRPr="00DF3EF3" w:rsidRDefault="00DF3EF3" w:rsidP="00DF3EF3">
            <w:pPr>
              <w:widowControl/>
              <w:jc w:val="center"/>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文号</w:t>
            </w:r>
          </w:p>
        </w:tc>
        <w:tc>
          <w:tcPr>
            <w:tcW w:w="0" w:type="auto"/>
            <w:tcBorders>
              <w:top w:val="single" w:sz="6" w:space="0" w:color="E8E8E8"/>
              <w:left w:val="single" w:sz="6" w:space="0" w:color="E8E8E8"/>
              <w:bottom w:val="single" w:sz="6" w:space="0" w:color="E8E8E8"/>
              <w:right w:val="single" w:sz="6" w:space="0" w:color="E8E8E8"/>
            </w:tcBorders>
            <w:tcMar>
              <w:top w:w="300" w:type="dxa"/>
              <w:left w:w="450" w:type="dxa"/>
              <w:bottom w:w="300" w:type="dxa"/>
              <w:right w:w="450" w:type="dxa"/>
            </w:tcMar>
            <w:vAlign w:val="center"/>
            <w:hideMark/>
          </w:tcPr>
          <w:p w:rsidR="00DF3EF3" w:rsidRPr="00DF3EF3" w:rsidRDefault="00DF3EF3" w:rsidP="00DF3EF3">
            <w:pPr>
              <w:widowControl/>
              <w:jc w:val="left"/>
              <w:rPr>
                <w:rFonts w:ascii="微软雅黑" w:eastAsia="微软雅黑" w:hAnsi="微软雅黑" w:cs="宋体"/>
                <w:color w:val="333333"/>
                <w:kern w:val="0"/>
                <w:sz w:val="24"/>
                <w:szCs w:val="24"/>
              </w:rPr>
            </w:pPr>
            <w:proofErr w:type="gramStart"/>
            <w:r w:rsidRPr="00DF3EF3">
              <w:rPr>
                <w:rFonts w:ascii="微软雅黑" w:eastAsia="微软雅黑" w:hAnsi="微软雅黑" w:cs="宋体" w:hint="eastAsia"/>
                <w:color w:val="333333"/>
                <w:kern w:val="0"/>
                <w:sz w:val="24"/>
                <w:szCs w:val="24"/>
              </w:rPr>
              <w:t>闽发改高</w:t>
            </w:r>
            <w:proofErr w:type="gramEnd"/>
            <w:r w:rsidRPr="00DF3EF3">
              <w:rPr>
                <w:rFonts w:ascii="微软雅黑" w:eastAsia="微软雅黑" w:hAnsi="微软雅黑" w:cs="宋体" w:hint="eastAsia"/>
                <w:color w:val="333333"/>
                <w:kern w:val="0"/>
                <w:sz w:val="24"/>
                <w:szCs w:val="24"/>
              </w:rPr>
              <w:t>技〔2021〕594号</w:t>
            </w:r>
          </w:p>
        </w:tc>
      </w:tr>
      <w:tr w:rsidR="00DF3EF3" w:rsidRPr="00DF3EF3" w:rsidTr="00DF3EF3">
        <w:tc>
          <w:tcPr>
            <w:tcW w:w="1770" w:type="dxa"/>
            <w:tcBorders>
              <w:top w:val="single" w:sz="6" w:space="0" w:color="E8E8E8"/>
              <w:left w:val="single" w:sz="6" w:space="0" w:color="E8E8E8"/>
              <w:bottom w:val="single" w:sz="6" w:space="0" w:color="E8E8E8"/>
              <w:right w:val="single" w:sz="6" w:space="0" w:color="E8E8E8"/>
            </w:tcBorders>
            <w:shd w:val="clear" w:color="auto" w:fill="F4F5F9"/>
            <w:tcMar>
              <w:top w:w="300" w:type="dxa"/>
              <w:left w:w="450" w:type="dxa"/>
              <w:bottom w:w="300" w:type="dxa"/>
              <w:right w:w="450" w:type="dxa"/>
            </w:tcMar>
            <w:vAlign w:val="center"/>
            <w:hideMark/>
          </w:tcPr>
          <w:p w:rsidR="00DF3EF3" w:rsidRPr="00DF3EF3" w:rsidRDefault="00DF3EF3" w:rsidP="00DF3EF3">
            <w:pPr>
              <w:widowControl/>
              <w:jc w:val="center"/>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发布机构</w:t>
            </w:r>
          </w:p>
        </w:tc>
        <w:tc>
          <w:tcPr>
            <w:tcW w:w="0" w:type="auto"/>
            <w:tcBorders>
              <w:top w:val="single" w:sz="6" w:space="0" w:color="E8E8E8"/>
              <w:left w:val="single" w:sz="6" w:space="0" w:color="E8E8E8"/>
              <w:bottom w:val="single" w:sz="6" w:space="0" w:color="E8E8E8"/>
              <w:right w:val="single" w:sz="6" w:space="0" w:color="E8E8E8"/>
            </w:tcBorders>
            <w:tcMar>
              <w:top w:w="300" w:type="dxa"/>
              <w:left w:w="450" w:type="dxa"/>
              <w:bottom w:w="300" w:type="dxa"/>
              <w:right w:w="450" w:type="dxa"/>
            </w:tcMar>
            <w:vAlign w:val="center"/>
            <w:hideMark/>
          </w:tcPr>
          <w:p w:rsidR="00DF3EF3" w:rsidRPr="00DF3EF3" w:rsidRDefault="00DF3EF3" w:rsidP="00DF3EF3">
            <w:pPr>
              <w:widowControl/>
              <w:jc w:val="left"/>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福建省发展和改革委员会</w:t>
            </w:r>
          </w:p>
        </w:tc>
        <w:tc>
          <w:tcPr>
            <w:tcW w:w="1770" w:type="dxa"/>
            <w:tcBorders>
              <w:top w:val="single" w:sz="6" w:space="0" w:color="E8E8E8"/>
              <w:left w:val="single" w:sz="6" w:space="0" w:color="E8E8E8"/>
              <w:bottom w:val="single" w:sz="6" w:space="0" w:color="E8E8E8"/>
              <w:right w:val="single" w:sz="6" w:space="0" w:color="E8E8E8"/>
            </w:tcBorders>
            <w:shd w:val="clear" w:color="auto" w:fill="F4F5F9"/>
            <w:tcMar>
              <w:top w:w="300" w:type="dxa"/>
              <w:left w:w="450" w:type="dxa"/>
              <w:bottom w:w="300" w:type="dxa"/>
              <w:right w:w="450" w:type="dxa"/>
            </w:tcMar>
            <w:vAlign w:val="center"/>
            <w:hideMark/>
          </w:tcPr>
          <w:p w:rsidR="00DF3EF3" w:rsidRPr="00DF3EF3" w:rsidRDefault="00DF3EF3" w:rsidP="00DF3EF3">
            <w:pPr>
              <w:widowControl/>
              <w:jc w:val="center"/>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生成日期</w:t>
            </w:r>
          </w:p>
        </w:tc>
        <w:tc>
          <w:tcPr>
            <w:tcW w:w="0" w:type="auto"/>
            <w:tcBorders>
              <w:top w:val="single" w:sz="6" w:space="0" w:color="E8E8E8"/>
              <w:left w:val="single" w:sz="6" w:space="0" w:color="E8E8E8"/>
              <w:bottom w:val="single" w:sz="6" w:space="0" w:color="E8E8E8"/>
              <w:right w:val="single" w:sz="6" w:space="0" w:color="E8E8E8"/>
            </w:tcBorders>
            <w:tcMar>
              <w:top w:w="300" w:type="dxa"/>
              <w:left w:w="450" w:type="dxa"/>
              <w:bottom w:w="300" w:type="dxa"/>
              <w:right w:w="450" w:type="dxa"/>
            </w:tcMar>
            <w:vAlign w:val="center"/>
            <w:hideMark/>
          </w:tcPr>
          <w:p w:rsidR="00DF3EF3" w:rsidRPr="00DF3EF3" w:rsidRDefault="00DF3EF3" w:rsidP="00DF3EF3">
            <w:pPr>
              <w:widowControl/>
              <w:jc w:val="left"/>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2021-09-29</w:t>
            </w:r>
          </w:p>
        </w:tc>
      </w:tr>
      <w:tr w:rsidR="00DF3EF3" w:rsidRPr="00DF3EF3" w:rsidTr="00DF3EF3">
        <w:tc>
          <w:tcPr>
            <w:tcW w:w="1770" w:type="dxa"/>
            <w:tcBorders>
              <w:top w:val="single" w:sz="6" w:space="0" w:color="E8E8E8"/>
              <w:left w:val="single" w:sz="6" w:space="0" w:color="E8E8E8"/>
              <w:bottom w:val="single" w:sz="6" w:space="0" w:color="E8E8E8"/>
              <w:right w:val="single" w:sz="6" w:space="0" w:color="E8E8E8"/>
            </w:tcBorders>
            <w:shd w:val="clear" w:color="auto" w:fill="F4F5F9"/>
            <w:tcMar>
              <w:top w:w="300" w:type="dxa"/>
              <w:left w:w="450" w:type="dxa"/>
              <w:bottom w:w="300" w:type="dxa"/>
              <w:right w:w="450" w:type="dxa"/>
            </w:tcMar>
            <w:vAlign w:val="center"/>
            <w:hideMark/>
          </w:tcPr>
          <w:p w:rsidR="00DF3EF3" w:rsidRPr="00DF3EF3" w:rsidRDefault="00DF3EF3" w:rsidP="00DF3EF3">
            <w:pPr>
              <w:widowControl/>
              <w:jc w:val="center"/>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标题</w:t>
            </w:r>
          </w:p>
        </w:tc>
        <w:tc>
          <w:tcPr>
            <w:tcW w:w="0" w:type="auto"/>
            <w:gridSpan w:val="3"/>
            <w:tcBorders>
              <w:top w:val="single" w:sz="6" w:space="0" w:color="E8E8E8"/>
              <w:left w:val="single" w:sz="6" w:space="0" w:color="E8E8E8"/>
              <w:bottom w:val="single" w:sz="6" w:space="0" w:color="E8E8E8"/>
              <w:right w:val="single" w:sz="6" w:space="0" w:color="E8E8E8"/>
            </w:tcBorders>
            <w:tcMar>
              <w:top w:w="300" w:type="dxa"/>
              <w:left w:w="450" w:type="dxa"/>
              <w:bottom w:w="300" w:type="dxa"/>
              <w:right w:w="450" w:type="dxa"/>
            </w:tcMar>
            <w:vAlign w:val="center"/>
            <w:hideMark/>
          </w:tcPr>
          <w:p w:rsidR="00DF3EF3" w:rsidRPr="00DF3EF3" w:rsidRDefault="00DF3EF3" w:rsidP="00DF3EF3">
            <w:pPr>
              <w:widowControl/>
              <w:jc w:val="left"/>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福建省发展和改革委员会关于印发《福建省工程研究中心管理办法》的通知</w:t>
            </w:r>
          </w:p>
        </w:tc>
      </w:tr>
      <w:tr w:rsidR="00DF3EF3" w:rsidRPr="00DF3EF3" w:rsidTr="00DF3EF3">
        <w:tc>
          <w:tcPr>
            <w:tcW w:w="1770" w:type="dxa"/>
            <w:tcBorders>
              <w:top w:val="single" w:sz="6" w:space="0" w:color="E8E8E8"/>
              <w:left w:val="single" w:sz="6" w:space="0" w:color="E8E8E8"/>
              <w:bottom w:val="single" w:sz="6" w:space="0" w:color="E8E8E8"/>
              <w:right w:val="single" w:sz="6" w:space="0" w:color="E8E8E8"/>
            </w:tcBorders>
            <w:shd w:val="clear" w:color="auto" w:fill="F4F5F9"/>
            <w:tcMar>
              <w:top w:w="300" w:type="dxa"/>
              <w:left w:w="450" w:type="dxa"/>
              <w:bottom w:w="300" w:type="dxa"/>
              <w:right w:w="450" w:type="dxa"/>
            </w:tcMar>
            <w:vAlign w:val="center"/>
            <w:hideMark/>
          </w:tcPr>
          <w:p w:rsidR="00DF3EF3" w:rsidRPr="00DF3EF3" w:rsidRDefault="00DF3EF3" w:rsidP="00DF3EF3">
            <w:pPr>
              <w:widowControl/>
              <w:jc w:val="center"/>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内容概述</w:t>
            </w:r>
          </w:p>
        </w:tc>
        <w:tc>
          <w:tcPr>
            <w:tcW w:w="0" w:type="auto"/>
            <w:gridSpan w:val="3"/>
            <w:tcBorders>
              <w:top w:val="single" w:sz="6" w:space="0" w:color="E8E8E8"/>
              <w:left w:val="single" w:sz="6" w:space="0" w:color="E8E8E8"/>
              <w:bottom w:val="single" w:sz="6" w:space="0" w:color="E8E8E8"/>
              <w:right w:val="single" w:sz="6" w:space="0" w:color="E8E8E8"/>
            </w:tcBorders>
            <w:tcMar>
              <w:top w:w="300" w:type="dxa"/>
              <w:left w:w="450" w:type="dxa"/>
              <w:bottom w:w="300" w:type="dxa"/>
              <w:right w:w="450" w:type="dxa"/>
            </w:tcMar>
            <w:vAlign w:val="center"/>
            <w:hideMark/>
          </w:tcPr>
          <w:p w:rsidR="00DF3EF3" w:rsidRPr="00DF3EF3" w:rsidRDefault="00DF3EF3" w:rsidP="00DF3EF3">
            <w:pPr>
              <w:widowControl/>
              <w:jc w:val="left"/>
              <w:rPr>
                <w:rFonts w:ascii="微软雅黑" w:eastAsia="微软雅黑" w:hAnsi="微软雅黑" w:cs="宋体"/>
                <w:color w:val="333333"/>
                <w:kern w:val="0"/>
                <w:sz w:val="24"/>
                <w:szCs w:val="24"/>
              </w:rPr>
            </w:pPr>
            <w:r w:rsidRPr="00DF3EF3">
              <w:rPr>
                <w:rFonts w:ascii="微软雅黑" w:eastAsia="微软雅黑" w:hAnsi="微软雅黑" w:cs="宋体" w:hint="eastAsia"/>
                <w:color w:val="333333"/>
                <w:kern w:val="0"/>
                <w:sz w:val="24"/>
                <w:szCs w:val="24"/>
              </w:rPr>
              <w:t>福建省发展和改革委员会关于印发《福建省工程研究中心管理办法》的通知</w:t>
            </w:r>
          </w:p>
        </w:tc>
      </w:tr>
    </w:tbl>
    <w:p w:rsidR="00DF3EF3" w:rsidRPr="00DF3EF3" w:rsidRDefault="00DF3EF3" w:rsidP="00DF3EF3">
      <w:pPr>
        <w:widowControl/>
        <w:spacing w:before="1050" w:after="300" w:line="570" w:lineRule="atLeast"/>
        <w:jc w:val="center"/>
        <w:outlineLvl w:val="1"/>
        <w:rPr>
          <w:rFonts w:ascii="微软雅黑" w:eastAsia="微软雅黑" w:hAnsi="微软雅黑" w:cs="宋体"/>
          <w:b/>
          <w:bCs/>
          <w:color w:val="067AC3"/>
          <w:kern w:val="0"/>
          <w:sz w:val="45"/>
          <w:szCs w:val="45"/>
        </w:rPr>
      </w:pPr>
      <w:r w:rsidRPr="00DF3EF3">
        <w:rPr>
          <w:rFonts w:ascii="微软雅黑" w:eastAsia="微软雅黑" w:hAnsi="微软雅黑" w:cs="宋体" w:hint="eastAsia"/>
          <w:b/>
          <w:bCs/>
          <w:color w:val="067AC3"/>
          <w:kern w:val="0"/>
          <w:sz w:val="45"/>
          <w:szCs w:val="45"/>
        </w:rPr>
        <w:lastRenderedPageBreak/>
        <w:t>福建省发展和改革委员会关于印发《福建省工程研究中心管理办法》的通知</w:t>
      </w:r>
    </w:p>
    <w:p w:rsidR="00DF3EF3" w:rsidRPr="00DF3EF3" w:rsidRDefault="00DF3EF3" w:rsidP="00DF3EF3">
      <w:pPr>
        <w:widowControl/>
        <w:jc w:val="left"/>
        <w:rPr>
          <w:rFonts w:ascii="微软雅黑" w:eastAsia="微软雅黑" w:hAnsi="微软雅黑" w:cs="宋体" w:hint="eastAsia"/>
          <w:color w:val="333333"/>
          <w:kern w:val="0"/>
          <w:szCs w:val="21"/>
        </w:rPr>
      </w:pPr>
      <w:r w:rsidRPr="00DF3EF3">
        <w:rPr>
          <w:rFonts w:ascii="微软雅黑" w:eastAsia="微软雅黑" w:hAnsi="微软雅黑" w:cs="宋体" w:hint="eastAsia"/>
          <w:color w:val="999999"/>
          <w:kern w:val="0"/>
          <w:szCs w:val="21"/>
        </w:rPr>
        <w:t>发布时间：2021-10-08 17:53</w:t>
      </w:r>
      <w:r w:rsidRPr="00DF3EF3">
        <w:rPr>
          <w:rFonts w:ascii="微软雅黑" w:eastAsia="微软雅黑" w:hAnsi="微软雅黑" w:cs="宋体" w:hint="eastAsia"/>
          <w:color w:val="333333"/>
          <w:kern w:val="0"/>
          <w:szCs w:val="21"/>
        </w:rPr>
        <w:t> </w:t>
      </w:r>
      <w:r w:rsidRPr="00DF3EF3">
        <w:rPr>
          <w:rFonts w:ascii="微软雅黑" w:eastAsia="微软雅黑" w:hAnsi="微软雅黑" w:cs="宋体" w:hint="eastAsia"/>
          <w:color w:val="999999"/>
          <w:kern w:val="0"/>
          <w:szCs w:val="21"/>
        </w:rPr>
        <w:t>来源：本网</w:t>
      </w:r>
    </w:p>
    <w:p w:rsidR="00DF3EF3" w:rsidRPr="00DF3EF3" w:rsidRDefault="00DF3EF3" w:rsidP="00DF3EF3">
      <w:pPr>
        <w:widowControl/>
        <w:spacing w:line="390" w:lineRule="atLeast"/>
        <w:jc w:val="left"/>
        <w:rPr>
          <w:rFonts w:ascii="微软雅黑" w:eastAsia="微软雅黑" w:hAnsi="微软雅黑" w:cs="宋体" w:hint="eastAsia"/>
          <w:color w:val="333333"/>
          <w:kern w:val="0"/>
          <w:szCs w:val="21"/>
        </w:rPr>
      </w:pPr>
      <w:r>
        <w:rPr>
          <w:rFonts w:ascii="微软雅黑" w:eastAsia="微软雅黑" w:hAnsi="微软雅黑" w:cs="宋体"/>
          <w:noProof/>
          <w:color w:val="B2B2B2"/>
          <w:kern w:val="0"/>
          <w:sz w:val="30"/>
          <w:szCs w:val="30"/>
        </w:rPr>
        <w:drawing>
          <wp:inline distT="0" distB="0" distL="0" distR="0">
            <wp:extent cx="247650" cy="161925"/>
            <wp:effectExtent l="19050" t="0" r="0" b="0"/>
            <wp:docPr id="1" name="图片 1" descr="http://fgw.fujian.gov.cn/images/20201014-xltp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w.fujian.gov.cn/images/20201014-xltp01.png">
                      <a:hlinkClick r:id="rId4"/>
                    </pic:cNvPr>
                    <pic:cNvPicPr>
                      <a:picLocks noChangeAspect="1" noChangeArrowheads="1"/>
                    </pic:cNvPicPr>
                  </pic:nvPicPr>
                  <pic:blipFill>
                    <a:blip r:embed="rId5"/>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Pr="00DF3EF3">
        <w:rPr>
          <w:rFonts w:ascii="微软雅黑" w:eastAsia="微软雅黑" w:hAnsi="微软雅黑" w:cs="宋体" w:hint="eastAsia"/>
          <w:color w:val="D8D8D8"/>
          <w:kern w:val="0"/>
        </w:rPr>
        <w:t>|</w:t>
      </w:r>
      <w:r>
        <w:rPr>
          <w:rFonts w:ascii="微软雅黑" w:eastAsia="微软雅黑" w:hAnsi="微软雅黑" w:cs="宋体"/>
          <w:noProof/>
          <w:color w:val="B2B2B2"/>
          <w:kern w:val="0"/>
          <w:sz w:val="30"/>
          <w:szCs w:val="30"/>
        </w:rPr>
        <w:drawing>
          <wp:inline distT="0" distB="0" distL="0" distR="0">
            <wp:extent cx="247650" cy="161925"/>
            <wp:effectExtent l="19050" t="0" r="0" b="0"/>
            <wp:docPr id="2" name="图片 2" descr="http://fgw.fujian.gov.cn/images/20201014-xltp0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gw.fujian.gov.cn/images/20201014-xltp02.png">
                      <a:hlinkClick r:id="rId4"/>
                    </pic:cNvPr>
                    <pic:cNvPicPr>
                      <a:picLocks noChangeAspect="1" noChangeArrowheads="1"/>
                    </pic:cNvPicPr>
                  </pic:nvPicPr>
                  <pic:blipFill>
                    <a:blip r:embed="rId6"/>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Pr="00DF3EF3">
        <w:rPr>
          <w:rFonts w:ascii="微软雅黑" w:eastAsia="微软雅黑" w:hAnsi="微软雅黑" w:cs="宋体" w:hint="eastAsia"/>
          <w:color w:val="D8D8D8"/>
          <w:kern w:val="0"/>
        </w:rPr>
        <w:t>|</w:t>
      </w:r>
      <w:r>
        <w:rPr>
          <w:rFonts w:ascii="微软雅黑" w:eastAsia="微软雅黑" w:hAnsi="微软雅黑" w:cs="宋体"/>
          <w:noProof/>
          <w:color w:val="B2B2B2"/>
          <w:kern w:val="0"/>
          <w:sz w:val="30"/>
          <w:szCs w:val="30"/>
        </w:rPr>
        <w:drawing>
          <wp:inline distT="0" distB="0" distL="0" distR="0">
            <wp:extent cx="152400" cy="161925"/>
            <wp:effectExtent l="19050" t="0" r="0" b="0"/>
            <wp:docPr id="3" name="图片 3" descr="http://fgw.fujian.gov.cn/images/20201014-xltp0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gw.fujian.gov.cn/images/20201014-xltp04.png">
                      <a:hlinkClick r:id="rId7"/>
                    </pic:cNvPr>
                    <pic:cNvPicPr>
                      <a:picLocks noChangeAspect="1" noChangeArrowheads="1"/>
                    </pic:cNvPicPr>
                  </pic:nvPicPr>
                  <pic:blipFill>
                    <a:blip r:embed="rId8"/>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DF3EF3">
        <w:rPr>
          <w:rFonts w:ascii="微软雅黑" w:eastAsia="微软雅黑" w:hAnsi="微软雅黑" w:cs="宋体" w:hint="eastAsia"/>
          <w:color w:val="D8D8D8"/>
          <w:kern w:val="0"/>
        </w:rPr>
        <w:t>|</w:t>
      </w:r>
      <w:r>
        <w:rPr>
          <w:rFonts w:ascii="微软雅黑" w:eastAsia="微软雅黑" w:hAnsi="微软雅黑" w:cs="宋体"/>
          <w:noProof/>
          <w:color w:val="B2B2B2"/>
          <w:kern w:val="0"/>
          <w:sz w:val="30"/>
          <w:szCs w:val="30"/>
        </w:rPr>
        <w:drawing>
          <wp:inline distT="0" distB="0" distL="0" distR="0">
            <wp:extent cx="152400" cy="152400"/>
            <wp:effectExtent l="19050" t="0" r="0" b="0"/>
            <wp:docPr id="4" name="图片 4" descr="http://fgw.fujian.gov.cn/images/20201014-xltp0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gw.fujian.gov.cn/images/20201014-xltp05.png">
                      <a:hlinkClick r:id="rId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F3EF3" w:rsidRPr="00DF3EF3" w:rsidRDefault="00DF3EF3" w:rsidP="00DF3EF3">
      <w:pPr>
        <w:widowControl/>
        <w:spacing w:after="240"/>
        <w:rPr>
          <w:rFonts w:ascii="宋体" w:eastAsia="宋体" w:hAnsi="宋体" w:cs="宋体" w:hint="eastAsia"/>
          <w:color w:val="333333"/>
          <w:kern w:val="0"/>
          <w:szCs w:val="21"/>
        </w:rPr>
      </w:pPr>
      <w:proofErr w:type="gramStart"/>
      <w:r w:rsidRPr="00DF3EF3">
        <w:rPr>
          <w:rFonts w:ascii="宋体" w:eastAsia="宋体" w:hAnsi="宋体" w:cs="宋体" w:hint="eastAsia"/>
          <w:color w:val="333333"/>
          <w:kern w:val="0"/>
          <w:szCs w:val="21"/>
        </w:rPr>
        <w:t>各设区市发改委</w:t>
      </w:r>
      <w:proofErr w:type="gramEnd"/>
      <w:r w:rsidRPr="00DF3EF3">
        <w:rPr>
          <w:rFonts w:ascii="宋体" w:eastAsia="宋体" w:hAnsi="宋体" w:cs="宋体" w:hint="eastAsia"/>
          <w:color w:val="333333"/>
          <w:kern w:val="0"/>
          <w:szCs w:val="21"/>
        </w:rPr>
        <w:t>、平潭综合实验区经济发展局：</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为深入实施创新驱动发展战略，大力营造有利于创新创业创造的良好发展环境，全面建设创新型省份，进一步加强福建省工程研究中心建设及运行管理，参照《国家工程研究中心管理办法》（2020年第34号令），结合我省实际，我委组织修订了《福建省工程研究中心管理办法》。现印发给你们，请遵照执行。</w:t>
      </w:r>
    </w:p>
    <w:p w:rsidR="00DF3EF3" w:rsidRPr="00DF3EF3" w:rsidRDefault="00DF3EF3" w:rsidP="00DF3EF3">
      <w:pPr>
        <w:widowControl/>
        <w:spacing w:before="240" w:after="240"/>
        <w:jc w:val="right"/>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福建省发展和改革委员会</w:t>
      </w:r>
    </w:p>
    <w:p w:rsidR="00DF3EF3" w:rsidRPr="00DF3EF3" w:rsidRDefault="00DF3EF3" w:rsidP="00DF3EF3">
      <w:pPr>
        <w:widowControl/>
        <w:spacing w:before="240" w:after="240"/>
        <w:jc w:val="right"/>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2021年9月29日</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（此件主动公开）</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福建省工程研究中心管理办法</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第一章  总 则</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一条为深入实施创新驱动发展战略，大力营造有利于创新创业创造的良好发展环境，全面建设创新型省份，进一步加强福建省工程研究中心建设及运行管理，参照《国家工程研究中心管理办法》（2020年第34号令），结合我省实际，制定本办法。</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第二条本办法适用于对福建省工程研究中心（含国家地方联合工程研究中心，下同）的申报、组建、评价等管理行为。</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本办法所称工程研究中心，是</w:t>
      </w:r>
      <w:proofErr w:type="gramStart"/>
      <w:r w:rsidRPr="00DF3EF3">
        <w:rPr>
          <w:rFonts w:ascii="宋体" w:eastAsia="宋体" w:hAnsi="宋体" w:cs="宋体" w:hint="eastAsia"/>
          <w:color w:val="333333"/>
          <w:kern w:val="0"/>
          <w:szCs w:val="21"/>
        </w:rPr>
        <w:t>指省发改</w:t>
      </w:r>
      <w:proofErr w:type="gramEnd"/>
      <w:r w:rsidRPr="00DF3EF3">
        <w:rPr>
          <w:rFonts w:ascii="宋体" w:eastAsia="宋体" w:hAnsi="宋体" w:cs="宋体" w:hint="eastAsia"/>
          <w:color w:val="333333"/>
          <w:kern w:val="0"/>
          <w:szCs w:val="21"/>
        </w:rPr>
        <w:t>委根据全面建设创新型省份和构建现代产业体系的战略需求，以强化科技自立自强、优化产业结构、服务国家和我省重大战略任务及重点工程实施为目标，组织具有较强研究开发和综合实力的企业、科研单位和高等院校等建设的研究开发实体。</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工程研究中心是我省创新体系的重要组成部分。</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第三条省工程研究中心建设旨在坚定实施创新驱动发展战略，服务经济社会发展，支撑关键核心技术研发，围绕产业</w:t>
      </w:r>
      <w:proofErr w:type="gramStart"/>
      <w:r w:rsidRPr="00DF3EF3">
        <w:rPr>
          <w:rFonts w:ascii="宋体" w:eastAsia="宋体" w:hAnsi="宋体" w:cs="宋体" w:hint="eastAsia"/>
          <w:color w:val="333333"/>
          <w:kern w:val="0"/>
          <w:szCs w:val="21"/>
        </w:rPr>
        <w:t>链部署</w:t>
      </w:r>
      <w:proofErr w:type="gramEnd"/>
      <w:r w:rsidRPr="00DF3EF3">
        <w:rPr>
          <w:rFonts w:ascii="宋体" w:eastAsia="宋体" w:hAnsi="宋体" w:cs="宋体" w:hint="eastAsia"/>
          <w:color w:val="333333"/>
          <w:kern w:val="0"/>
          <w:szCs w:val="21"/>
        </w:rPr>
        <w:t>创新链，围绕创新链布局产业链，提升产业</w:t>
      </w:r>
      <w:proofErr w:type="gramStart"/>
      <w:r w:rsidRPr="00DF3EF3">
        <w:rPr>
          <w:rFonts w:ascii="宋体" w:eastAsia="宋体" w:hAnsi="宋体" w:cs="宋体" w:hint="eastAsia"/>
          <w:color w:val="333333"/>
          <w:kern w:val="0"/>
          <w:szCs w:val="21"/>
        </w:rPr>
        <w:t>链供应</w:t>
      </w:r>
      <w:proofErr w:type="gramEnd"/>
      <w:r w:rsidRPr="00DF3EF3">
        <w:rPr>
          <w:rFonts w:ascii="宋体" w:eastAsia="宋体" w:hAnsi="宋体" w:cs="宋体" w:hint="eastAsia"/>
          <w:color w:val="333333"/>
          <w:kern w:val="0"/>
          <w:szCs w:val="21"/>
        </w:rPr>
        <w:t>链稳定性和竞争力，打造全方位推进高质量发展超越新动能。工程研究中心建设的主要目的是：</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（一）坚持目标导向，着眼加快重大科技成果工程化、产业化，布局建设开放服务的创新平台，为各</w:t>
      </w:r>
      <w:proofErr w:type="gramStart"/>
      <w:r w:rsidRPr="00DF3EF3">
        <w:rPr>
          <w:rFonts w:ascii="宋体" w:eastAsia="宋体" w:hAnsi="宋体" w:cs="宋体" w:hint="eastAsia"/>
          <w:color w:val="333333"/>
          <w:kern w:val="0"/>
          <w:szCs w:val="21"/>
        </w:rPr>
        <w:t>类创新</w:t>
      </w:r>
      <w:proofErr w:type="gramEnd"/>
      <w:r w:rsidRPr="00DF3EF3">
        <w:rPr>
          <w:rFonts w:ascii="宋体" w:eastAsia="宋体" w:hAnsi="宋体" w:cs="宋体" w:hint="eastAsia"/>
          <w:color w:val="333333"/>
          <w:kern w:val="0"/>
          <w:szCs w:val="21"/>
        </w:rPr>
        <w:t>主体开展实验室技术熟化、工程化放大和可靠性验证等活动提供基础条件，促进提高科技成果转化能力和转化效率;</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（二）坚持问题导向，瞄准国家和我省战略任务和重点工程实施中的重大技术难题，以及</w:t>
      </w:r>
      <w:proofErr w:type="gramStart"/>
      <w:r w:rsidRPr="00DF3EF3">
        <w:rPr>
          <w:rFonts w:ascii="宋体" w:eastAsia="宋体" w:hAnsi="宋体" w:cs="宋体" w:hint="eastAsia"/>
          <w:color w:val="333333"/>
          <w:kern w:val="0"/>
          <w:szCs w:val="21"/>
        </w:rPr>
        <w:t>保产业链供应链稳定</w:t>
      </w:r>
      <w:proofErr w:type="gramEnd"/>
      <w:r w:rsidRPr="00DF3EF3">
        <w:rPr>
          <w:rFonts w:ascii="宋体" w:eastAsia="宋体" w:hAnsi="宋体" w:cs="宋体" w:hint="eastAsia"/>
          <w:color w:val="333333"/>
          <w:kern w:val="0"/>
          <w:szCs w:val="21"/>
        </w:rPr>
        <w:t>的关键领域环节，引导优势创新单元组建创新联合体，突破关键核心技术和重大装备等瓶颈制约，提高科技创新服务经济社会发展的能力；</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坚持结果导向，围绕提升产学研协同创新的效能，深化体制机制改革和创新，探索建立知识、技术、数据等生产要素由市场评价贡献、按贡献决定报酬的机制，激发科技人员推动技术创新和科技成果转化的积极性、主动性和创造性。</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第四条工程研究中心的主要任务包括：</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（一）面向国家和我省重大战略任务和重点工程建设需求，开展关键技术攻关和实验研究，推动产业关键共性技术、前沿引领技术、现代工程技术、颠覆性技术创新；</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（二）以市场为导向，</w:t>
      </w:r>
      <w:proofErr w:type="gramStart"/>
      <w:r w:rsidRPr="00DF3EF3">
        <w:rPr>
          <w:rFonts w:ascii="宋体" w:eastAsia="宋体" w:hAnsi="宋体" w:cs="宋体" w:hint="eastAsia"/>
          <w:color w:val="333333"/>
          <w:kern w:val="0"/>
          <w:szCs w:val="21"/>
        </w:rPr>
        <w:t>研判产业</w:t>
      </w:r>
      <w:proofErr w:type="gramEnd"/>
      <w:r w:rsidRPr="00DF3EF3">
        <w:rPr>
          <w:rFonts w:ascii="宋体" w:eastAsia="宋体" w:hAnsi="宋体" w:cs="宋体" w:hint="eastAsia"/>
          <w:color w:val="333333"/>
          <w:kern w:val="0"/>
          <w:szCs w:val="21"/>
        </w:rPr>
        <w:t>发展态势及需求，开展具有重要应用价值的重大科技成果的工程化和系统集成，研制重大装备样机及其关键部件；</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（三）推动技术转移和扩散，持续不断地为规模化生产提供成熟的先进技术、工艺及其技术产品和装备;</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（四）积极开展多种形式的国际、国内交流合作，为企业应用先进技术、推动技术转移扩散等提供支撑服务；</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（五）提供工程技术验证和咨询服务，研究产业技术标准；</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（六）为行业培养工程技术研究与管理的高层次人才，构建人才引进、人才培养、人才激励机制；</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（七）为培育国家工程研究中心、国家产业创新中心等做好储备。</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第二章  组织管理</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第五条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委负责指导协调省工程研究中心建设及运行管理相关工作，主要负责：</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（一）统筹规划全省工程研究中心的建设领域和布局；</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（二）指导工程研究中心的建设和发展；</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（三）组织论证工程研究中心申请报告，对符合条件的予以认定并进行监督管理；</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（四）组织工程研究中心运行评价，安排省级预算内投资补助，并按国家发展改革委有关要求争取中央预算内投资等资金支持。</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第六条省级有关部门，</w:t>
      </w:r>
      <w:proofErr w:type="gramStart"/>
      <w:r w:rsidRPr="00DF3EF3">
        <w:rPr>
          <w:rFonts w:ascii="宋体" w:eastAsia="宋体" w:hAnsi="宋体" w:cs="宋体" w:hint="eastAsia"/>
          <w:color w:val="333333"/>
          <w:kern w:val="0"/>
          <w:szCs w:val="21"/>
        </w:rPr>
        <w:t>各设区市发改委</w:t>
      </w:r>
      <w:proofErr w:type="gramEnd"/>
      <w:r w:rsidRPr="00DF3EF3">
        <w:rPr>
          <w:rFonts w:ascii="宋体" w:eastAsia="宋体" w:hAnsi="宋体" w:cs="宋体" w:hint="eastAsia"/>
          <w:color w:val="333333"/>
          <w:kern w:val="0"/>
          <w:szCs w:val="21"/>
        </w:rPr>
        <w:t>、平潭综合实验区经济发展局，科研机构、高等院校及省属企业（集团）是工程研究中心建设的主管部门，主要负责：</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（一）组织所属工程研究中心的组建申报，开展工程研究中心运行的监督管理，不定期抽查主管的工程研究中心建设运营情况；</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（二）组织所属工程研究中心创新能力建设项目的申报和管理，督促、协调落实建设条件，组织创新能力建设项目验收；</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（三）根据国家和我省有关规定建立相应的监督管理制度，配合有关部门做好审计、监察和检查等各项工作；</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（四）对工程研究中心报送的材料和数据承担核实责任，确保真实可靠；</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（五）会同有关部门按规定给予工程研究中心资金和政策支持。</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第七条工程研究中心实施主体单位主要负责：</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（一）根据组建方案及有关文件要求，推进工程研究中心组建，实现设定的研究开发和成果转化目标，持续推动产业技术进步和创新能力提升；</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（二）落实工程研究中心建设与运行条件，筹措工程研究中心建设和运行经费，保障工程研究中心顺利建设和正常运行；</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（三）承担国家和省有关部门委托的科技开发及工程化研究任务，保证工程研究中心的开放运行和共用共享；</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（四）按照有关要求向主管部门报送建设项目实施情况和工程研究中心运行情况。</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第三章  申报与组建</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第八条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委根据有关重大战略部署、重大规划实施、重大工程建设等需要，择优择</w:t>
      </w:r>
      <w:proofErr w:type="gramStart"/>
      <w:r w:rsidRPr="00DF3EF3">
        <w:rPr>
          <w:rFonts w:ascii="宋体" w:eastAsia="宋体" w:hAnsi="宋体" w:cs="宋体" w:hint="eastAsia"/>
          <w:color w:val="333333"/>
          <w:kern w:val="0"/>
          <w:szCs w:val="21"/>
        </w:rPr>
        <w:t>需部署</w:t>
      </w:r>
      <w:proofErr w:type="gramEnd"/>
      <w:r w:rsidRPr="00DF3EF3">
        <w:rPr>
          <w:rFonts w:ascii="宋体" w:eastAsia="宋体" w:hAnsi="宋体" w:cs="宋体" w:hint="eastAsia"/>
          <w:color w:val="333333"/>
          <w:kern w:val="0"/>
          <w:szCs w:val="21"/>
        </w:rPr>
        <w:t>建设工程研究中心，适时发布申报通知。</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第九条拟申请工程研究中心组建的实施主体单位（以下简称申报单位）应具备以下条件：</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（一）符合</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委发布的建设领域及相关要求；</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（二）具有一批有待工程化开发、拥有自主知识产权和良好市场前景、处于国内或省内领先水平的重大科技成果；</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具有至少1名省级及以上人才带头的人才队伍；拥有研发场所面积1500平方米以上；仪器设备原值2000万元以上；年度研究与试验发展经费支出额不低于1500万元；专职研发人员不少于50人，其中，具有中、高级职称以上或具有博士、硕士学位的研发人员不少于35人；</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（四）具有以市场为导向，将重大科技成果向规模生产转化的工程化研究验证环境和能力；</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（五）具有通过市场机制实现技术转移和扩散，促进科技成果产业化，形成良性循环的自我发展能力；</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（六）具有完善的人才激励、成果转化激励、知识产权管理、开放共享等管理制度；</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（七）未因严重违法失信行为被司法、行政机关依法列入联合惩戒对象名单；</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（八）符合国家、我省其他相关规定。</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第十条工程研究中心一般应采用法人形式组建和运行。对于采取非法人形式组建的工程研究中心，需要与依托单位在人、财、物的管理上保持清晰边界，评价指标数据能够独立核算、有据可查。</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第十一条鼓励相关领域的优势企业、科研单位、高等院校、社会投资机构组建创新联合体，以独立法人形式申报工程研究中心。鼓励跨地区、跨行业交流合作，促进区域技术创新和产业发展。</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第十二条申报单位按照</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委通知要求，结合自身优势和具体情况，编制《福建省工程研究中心申请报告》（附件1），并向主管部门提出申请。</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第十三条主管部门负责审查申报单位提出的申报材料，将符合条件的申请报告推荐给</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第十四条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根据主管部门推荐，委托第三方机构或组织专家对工程研究中心申请报告进行评审，重点包括组建工程研究中心的重要性和必要性、申报单位的条件、发展目标及实现可能性等。评审过程中，可要求申报单位就有关问题进行说明。必要时可征求相关部门和地方的意见。</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第十五条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委根据评审意见，综合研究后，确定拟认定的省工程研究中心名单，并在委门户网站或其他省级媒体公示5个工作日，公示期满无异议的予以认定。</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第十六条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委认定后，工程研究中心按认定内容统一命名为“福建省××工程研究中心”，英文名称：“</w:t>
      </w:r>
      <w:proofErr w:type="spellStart"/>
      <w:r w:rsidRPr="00DF3EF3">
        <w:rPr>
          <w:rFonts w:ascii="宋体" w:eastAsia="宋体" w:hAnsi="宋体" w:cs="宋体" w:hint="eastAsia"/>
          <w:color w:val="333333"/>
          <w:kern w:val="0"/>
          <w:szCs w:val="21"/>
        </w:rPr>
        <w:t>FujianEngineeringResearchCenterof</w:t>
      </w:r>
      <w:proofErr w:type="spellEnd"/>
      <w:r w:rsidRPr="00DF3EF3">
        <w:rPr>
          <w:rFonts w:ascii="宋体" w:eastAsia="宋体" w:hAnsi="宋体" w:cs="宋体" w:hint="eastAsia"/>
          <w:color w:val="333333"/>
          <w:kern w:val="0"/>
          <w:szCs w:val="21"/>
        </w:rPr>
        <w:t>××”，开展实施申请报告中确定的各项工作任务。</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第四章  运行评价</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第十七条工程研究中心实行优胜劣汰、动态调整的运行评价制度，</w:t>
      </w:r>
      <w:proofErr w:type="gramStart"/>
      <w:r w:rsidRPr="00DF3EF3">
        <w:rPr>
          <w:rFonts w:ascii="宋体" w:eastAsia="宋体" w:hAnsi="宋体" w:cs="宋体" w:hint="eastAsia"/>
          <w:color w:val="333333"/>
          <w:kern w:val="0"/>
          <w:szCs w:val="21"/>
        </w:rPr>
        <w:t>省发改委发布省</w:t>
      </w:r>
      <w:proofErr w:type="gramEnd"/>
      <w:r w:rsidRPr="00DF3EF3">
        <w:rPr>
          <w:rFonts w:ascii="宋体" w:eastAsia="宋体" w:hAnsi="宋体" w:cs="宋体" w:hint="eastAsia"/>
          <w:color w:val="333333"/>
          <w:kern w:val="0"/>
          <w:szCs w:val="21"/>
        </w:rPr>
        <w:t>工程研究中心评价通知，原则上每两年进行一次集中评价。认定时间不满一年的工程研究中心不参加集中评价。</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第十八条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委制定《福建省工程研究中心评价工作指南》（包括附件2—6），明确评价指标体系、数据采集规范、材料报送要求等事项。</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第十九条运行评价程序为：</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数据采集。工程研究中心应于评价年度2月底前将评价材料报主管部门。评价材料包括：《福建省工程研究中心工作报告》（附件2）、《福建省工程研究中心评价数据表》（附件3）、《评价数据证明材料》（附件4）、《福建省工程研究中心评价数据真实性承诺书》（附件5）。</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（二）数据初审。主管部门对工程研究中心报送的评价材料进行核实，并对材料完整性、真实性出具审查意见（附件6），于评价年度的3月底前将评价材料和审核意见报送</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（三）评价与审核。</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委组织专家或委托第三方机构对工程研究中心报送的评价材料及相关情况进行评价，按照评价指标体系（附件3）进行计算、分析，形成评价结果。</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第二十条工程研究中心评价结果分为优秀、良好、中等、基本合格和不合格。评价期间取得国家科技奖（牵头单位或第一完成人）可直接评为优秀，评价期间实现国家一类新药上市可直接评为良好。</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第二十一条</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委向主管部门通报评价结果，并将其作为工程研究中心管理和安排资金补助、奖励的重要依据。</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第五章  支持政策</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第二十二条评价结果为优良的，未获得工程研究中心资金补助的，首次可申请</w:t>
      </w:r>
      <w:proofErr w:type="gramStart"/>
      <w:r w:rsidRPr="00DF3EF3">
        <w:rPr>
          <w:rFonts w:ascii="宋体" w:eastAsia="宋体" w:hAnsi="宋体" w:cs="宋体" w:hint="eastAsia"/>
          <w:color w:val="333333"/>
          <w:kern w:val="0"/>
          <w:szCs w:val="21"/>
        </w:rPr>
        <w:t>省发改委创新</w:t>
      </w:r>
      <w:proofErr w:type="gramEnd"/>
      <w:r w:rsidRPr="00DF3EF3">
        <w:rPr>
          <w:rFonts w:ascii="宋体" w:eastAsia="宋体" w:hAnsi="宋体" w:cs="宋体" w:hint="eastAsia"/>
          <w:color w:val="333333"/>
          <w:kern w:val="0"/>
          <w:szCs w:val="21"/>
        </w:rPr>
        <w:t>能力建设专项资金。对已获得创新能力建设专项资金的工程研究中心，评价结果名列前茅的，根据工程研究中心承担重点任务、服务产业发展等情况，可再次申请创新能力建设提升专项资金。省级预算内投资专项资金以投资补助形式，主要用于购置工程化、产业化研发所需的软硬件设备，建设工程化的验证和测试环境等。</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第二十三条申请创新能力建设及提升专项资金的，须编制创新能力建设专项资金申请报告（附件7），经主管部门审查通过后，报送</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委组织专家或委托第三方机构进行论证和评审（必要时可征求有关部门和地方意见），根据论证评审情况，择优予以安排资金支持。</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第二十四条省工程研究中心应积极争创国家工程研究中心。</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委根据评价结果，综合国家发展改革委要求，优先推荐运行情况好、成绩显著的省工程研究中心申报国家工程研究中心。对获得国家发展改革委认定的，</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委按照相关政策文件安排省级预算内投资补助，并不再参加省工程研究中心运行评价。</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第六章  监督管理</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第二十五条实施主体单位要严格执行经认定的申请报告。对于发生重大变化，涉及功能、任务和建设内容重大调整的，由主管部门提出调整建议并报</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委审核。</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第二十六条对于无法完成发展目标的工程研究中心，主管部门要及时查找原因，明确相关责任，提出处理建议并报送</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委根据具体情况给予限期整改、通报批评、收回已拨付的补助资金、撤销其称号等处理。对情节恶劣或后果严重的，提请或移交有关机关依法追究相关责任人的行政或法律责任。</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七条主管部门应对工程研究中心报送的材料和数据承担核实责任，确保真实可靠。工程研究中心提供虚假材料和数据的行为，一经核实，依法依规记入其实施主体单位的信用记录，并纳入全国信用信息共享平台。</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第二十八条有下列情形之一的，</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委撤销其工程研究中心称号：</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（一）运行评价结果不合格的；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（二）连续两次运行评价结果均为基本合格的；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（三）逾期未报送评价材料的；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（四）提供虚假材料和数据的；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（五）主要由于技术原因发生重大质量、安全事故的；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（六）因违反《海关法》及有关法律、行政法规，构成走私行为，受到刑事、行政处罚，或因严重违反海关监管规定受到行政处罚的；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（七）因违反《税收征收管理法》及有关法律、行政法规，构成偷税、骗取出口退税等严重税收违法行为的；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（八）因严重违法失信行为被司法、行政机关依法列入联合惩戒对象名单的；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（九）工程研究中心被依法终止的。</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工程研究中心被撤销的，5年内不得重新申报。</w:t>
      </w:r>
    </w:p>
    <w:p w:rsidR="00DF3EF3" w:rsidRPr="00DF3EF3" w:rsidRDefault="00DF3EF3" w:rsidP="00DF3EF3">
      <w:pPr>
        <w:widowControl/>
        <w:jc w:val="center"/>
        <w:rPr>
          <w:rFonts w:ascii="宋体" w:eastAsia="宋体" w:hAnsi="宋体" w:cs="宋体" w:hint="eastAsia"/>
          <w:color w:val="333333"/>
          <w:kern w:val="0"/>
          <w:szCs w:val="21"/>
        </w:rPr>
      </w:pPr>
      <w:r w:rsidRPr="00DF3EF3">
        <w:rPr>
          <w:rFonts w:ascii="宋体" w:eastAsia="宋体" w:hAnsi="宋体" w:cs="宋体" w:hint="eastAsia"/>
          <w:b/>
          <w:bCs/>
          <w:color w:val="333333"/>
          <w:kern w:val="0"/>
        </w:rPr>
        <w:t>第七章  附则</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第二十九条本办法自发布之日起施行。《福建省工程研究中心和工程实验室管理暂行办法》同时废止。</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第三十条本办法由</w:t>
      </w:r>
      <w:proofErr w:type="gramStart"/>
      <w:r w:rsidRPr="00DF3EF3">
        <w:rPr>
          <w:rFonts w:ascii="宋体" w:eastAsia="宋体" w:hAnsi="宋体" w:cs="宋体" w:hint="eastAsia"/>
          <w:color w:val="333333"/>
          <w:kern w:val="0"/>
          <w:szCs w:val="21"/>
        </w:rPr>
        <w:t>省发改</w:t>
      </w:r>
      <w:proofErr w:type="gramEnd"/>
      <w:r w:rsidRPr="00DF3EF3">
        <w:rPr>
          <w:rFonts w:ascii="宋体" w:eastAsia="宋体" w:hAnsi="宋体" w:cs="宋体" w:hint="eastAsia"/>
          <w:color w:val="333333"/>
          <w:kern w:val="0"/>
          <w:szCs w:val="21"/>
        </w:rPr>
        <w:t>委负责解释。</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附件：</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1.《福建省工程研究中心申请报告》编制提纲</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2.《福建省工程研究中心工作报告》编制提纲</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3.《福建省工程研究中心评价数据表》及有关说明</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4.《评价数据证明材料》及有关说明</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5.福建省工程研究中心评价数据真实性承诺书</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6.主管部门审核意见要点</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7.</w:t>
      </w:r>
      <w:proofErr w:type="gramStart"/>
      <w:r w:rsidRPr="00DF3EF3">
        <w:rPr>
          <w:rFonts w:ascii="宋体" w:eastAsia="宋体" w:hAnsi="宋体" w:cs="宋体" w:hint="eastAsia"/>
          <w:color w:val="333333"/>
          <w:kern w:val="0"/>
          <w:szCs w:val="21"/>
        </w:rPr>
        <w:t>《</w:t>
      </w:r>
      <w:proofErr w:type="gramEnd"/>
      <w:r w:rsidRPr="00DF3EF3">
        <w:rPr>
          <w:rFonts w:ascii="宋体" w:eastAsia="宋体" w:hAnsi="宋体" w:cs="宋体" w:hint="eastAsia"/>
          <w:color w:val="333333"/>
          <w:kern w:val="0"/>
          <w:szCs w:val="21"/>
        </w:rPr>
        <w:t>福建省工程研究中心创新能力建设专项资金</w:t>
      </w:r>
    </w:p>
    <w:p w:rsidR="00DF3EF3" w:rsidRPr="00DF3EF3" w:rsidRDefault="00DF3EF3" w:rsidP="00DF3EF3">
      <w:pPr>
        <w:widowControl/>
        <w:spacing w:before="240" w:after="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lastRenderedPageBreak/>
        <w:t xml:space="preserve">　　申请报告</w:t>
      </w:r>
      <w:proofErr w:type="gramStart"/>
      <w:r w:rsidRPr="00DF3EF3">
        <w:rPr>
          <w:rFonts w:ascii="宋体" w:eastAsia="宋体" w:hAnsi="宋体" w:cs="宋体" w:hint="eastAsia"/>
          <w:color w:val="333333"/>
          <w:kern w:val="0"/>
          <w:szCs w:val="21"/>
        </w:rPr>
        <w:t>》</w:t>
      </w:r>
      <w:proofErr w:type="gramEnd"/>
      <w:r w:rsidRPr="00DF3EF3">
        <w:rPr>
          <w:rFonts w:ascii="宋体" w:eastAsia="宋体" w:hAnsi="宋体" w:cs="宋体" w:hint="eastAsia"/>
          <w:color w:val="333333"/>
          <w:kern w:val="0"/>
          <w:szCs w:val="21"/>
        </w:rPr>
        <w:t>编制提纲</w:t>
      </w:r>
    </w:p>
    <w:p w:rsidR="00DF3EF3" w:rsidRPr="00DF3EF3" w:rsidRDefault="00DF3EF3" w:rsidP="00DF3EF3">
      <w:pPr>
        <w:widowControl/>
        <w:spacing w:before="240"/>
        <w:rPr>
          <w:rFonts w:ascii="宋体" w:eastAsia="宋体" w:hAnsi="宋体" w:cs="宋体" w:hint="eastAsia"/>
          <w:color w:val="333333"/>
          <w:kern w:val="0"/>
          <w:szCs w:val="21"/>
        </w:rPr>
      </w:pPr>
      <w:r w:rsidRPr="00DF3EF3">
        <w:rPr>
          <w:rFonts w:ascii="宋体" w:eastAsia="宋体" w:hAnsi="宋体" w:cs="宋体" w:hint="eastAsia"/>
          <w:color w:val="333333"/>
          <w:kern w:val="0"/>
          <w:szCs w:val="21"/>
        </w:rPr>
        <w:t xml:space="preserve">　　8.《福建省工程研究中心验收报告》编制提纲</w:t>
      </w:r>
    </w:p>
    <w:p w:rsidR="004419DB" w:rsidRPr="00DF3EF3" w:rsidRDefault="004419DB"/>
    <w:sectPr w:rsidR="004419DB" w:rsidRPr="00DF3EF3" w:rsidSect="00DF3EF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3EF3"/>
    <w:rsid w:val="004107A5"/>
    <w:rsid w:val="004419DB"/>
    <w:rsid w:val="00DF3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DB"/>
    <w:pPr>
      <w:widowControl w:val="0"/>
      <w:jc w:val="both"/>
    </w:pPr>
  </w:style>
  <w:style w:type="paragraph" w:styleId="2">
    <w:name w:val="heading 2"/>
    <w:basedOn w:val="a"/>
    <w:link w:val="2Char"/>
    <w:uiPriority w:val="9"/>
    <w:qFormat/>
    <w:rsid w:val="00DF3E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F3EF3"/>
    <w:rPr>
      <w:rFonts w:ascii="宋体" w:eastAsia="宋体" w:hAnsi="宋体" w:cs="宋体"/>
      <w:b/>
      <w:bCs/>
      <w:kern w:val="0"/>
      <w:sz w:val="36"/>
      <w:szCs w:val="36"/>
    </w:rPr>
  </w:style>
  <w:style w:type="character" w:styleId="a3">
    <w:name w:val="Emphasis"/>
    <w:basedOn w:val="a0"/>
    <w:uiPriority w:val="20"/>
    <w:qFormat/>
    <w:rsid w:val="00DF3EF3"/>
    <w:rPr>
      <w:i/>
      <w:iCs/>
    </w:rPr>
  </w:style>
  <w:style w:type="paragraph" w:styleId="a4">
    <w:name w:val="Normal (Web)"/>
    <w:basedOn w:val="a"/>
    <w:uiPriority w:val="99"/>
    <w:semiHidden/>
    <w:unhideWhenUsed/>
    <w:rsid w:val="00DF3EF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F3EF3"/>
    <w:rPr>
      <w:b/>
      <w:bCs/>
    </w:rPr>
  </w:style>
  <w:style w:type="paragraph" w:styleId="a6">
    <w:name w:val="Balloon Text"/>
    <w:basedOn w:val="a"/>
    <w:link w:val="Char"/>
    <w:uiPriority w:val="99"/>
    <w:semiHidden/>
    <w:unhideWhenUsed/>
    <w:rsid w:val="00DF3EF3"/>
    <w:rPr>
      <w:sz w:val="18"/>
      <w:szCs w:val="18"/>
    </w:rPr>
  </w:style>
  <w:style w:type="character" w:customStyle="1" w:styleId="Char">
    <w:name w:val="批注框文本 Char"/>
    <w:basedOn w:val="a0"/>
    <w:link w:val="a6"/>
    <w:uiPriority w:val="99"/>
    <w:semiHidden/>
    <w:rsid w:val="00DF3EF3"/>
    <w:rPr>
      <w:sz w:val="18"/>
      <w:szCs w:val="18"/>
    </w:rPr>
  </w:style>
</w:styles>
</file>

<file path=word/webSettings.xml><?xml version="1.0" encoding="utf-8"?>
<w:webSettings xmlns:r="http://schemas.openxmlformats.org/officeDocument/2006/relationships" xmlns:w="http://schemas.openxmlformats.org/wordprocessingml/2006/main">
  <w:divs>
    <w:div w:id="825128450">
      <w:bodyDiv w:val="1"/>
      <w:marLeft w:val="0"/>
      <w:marRight w:val="0"/>
      <w:marTop w:val="0"/>
      <w:marBottom w:val="0"/>
      <w:divBdr>
        <w:top w:val="none" w:sz="0" w:space="0" w:color="auto"/>
        <w:left w:val="none" w:sz="0" w:space="0" w:color="auto"/>
        <w:bottom w:val="none" w:sz="0" w:space="0" w:color="auto"/>
        <w:right w:val="none" w:sz="0" w:space="0" w:color="auto"/>
      </w:divBdr>
      <w:divsChild>
        <w:div w:id="581724452">
          <w:marLeft w:val="0"/>
          <w:marRight w:val="0"/>
          <w:marTop w:val="0"/>
          <w:marBottom w:val="0"/>
          <w:divBdr>
            <w:top w:val="none" w:sz="0" w:space="0" w:color="auto"/>
            <w:left w:val="none" w:sz="0" w:space="0" w:color="auto"/>
            <w:bottom w:val="none" w:sz="0" w:space="0" w:color="auto"/>
            <w:right w:val="none" w:sz="0" w:space="0" w:color="auto"/>
          </w:divBdr>
          <w:divsChild>
            <w:div w:id="608003536">
              <w:marLeft w:val="0"/>
              <w:marRight w:val="0"/>
              <w:marTop w:val="600"/>
              <w:marBottom w:val="0"/>
              <w:divBdr>
                <w:top w:val="single" w:sz="6" w:space="11" w:color="E8E8E8"/>
                <w:left w:val="none" w:sz="0" w:space="0" w:color="auto"/>
                <w:bottom w:val="none" w:sz="0" w:space="0" w:color="auto"/>
                <w:right w:val="none" w:sz="0" w:space="0" w:color="auto"/>
              </w:divBdr>
              <w:divsChild>
                <w:div w:id="876895743">
                  <w:marLeft w:val="0"/>
                  <w:marRight w:val="0"/>
                  <w:marTop w:val="0"/>
                  <w:marBottom w:val="0"/>
                  <w:divBdr>
                    <w:top w:val="none" w:sz="0" w:space="0" w:color="auto"/>
                    <w:left w:val="none" w:sz="0" w:space="0" w:color="auto"/>
                    <w:bottom w:val="none" w:sz="0" w:space="0" w:color="auto"/>
                    <w:right w:val="none" w:sz="0" w:space="0" w:color="auto"/>
                  </w:divBdr>
                </w:div>
                <w:div w:id="350423925">
                  <w:marLeft w:val="0"/>
                  <w:marRight w:val="0"/>
                  <w:marTop w:val="0"/>
                  <w:marBottom w:val="0"/>
                  <w:divBdr>
                    <w:top w:val="none" w:sz="0" w:space="0" w:color="auto"/>
                    <w:left w:val="none" w:sz="0" w:space="0" w:color="auto"/>
                    <w:bottom w:val="none" w:sz="0" w:space="0" w:color="auto"/>
                    <w:right w:val="none" w:sz="0" w:space="0" w:color="auto"/>
                  </w:divBdr>
                </w:div>
              </w:divsChild>
            </w:div>
            <w:div w:id="417675245">
              <w:marLeft w:val="0"/>
              <w:marRight w:val="0"/>
              <w:marTop w:val="750"/>
              <w:marBottom w:val="0"/>
              <w:divBdr>
                <w:top w:val="none" w:sz="0" w:space="0" w:color="auto"/>
                <w:left w:val="none" w:sz="0" w:space="0" w:color="auto"/>
                <w:bottom w:val="none" w:sz="0" w:space="0" w:color="auto"/>
                <w:right w:val="none" w:sz="0" w:space="0" w:color="auto"/>
              </w:divBdr>
              <w:divsChild>
                <w:div w:id="1344018304">
                  <w:marLeft w:val="0"/>
                  <w:marRight w:val="0"/>
                  <w:marTop w:val="300"/>
                  <w:marBottom w:val="0"/>
                  <w:divBdr>
                    <w:top w:val="none" w:sz="0" w:space="0" w:color="auto"/>
                    <w:left w:val="none" w:sz="0" w:space="0" w:color="auto"/>
                    <w:bottom w:val="none" w:sz="0" w:space="0" w:color="auto"/>
                    <w:right w:val="none" w:sz="0" w:space="0" w:color="auto"/>
                  </w:divBdr>
                  <w:divsChild>
                    <w:div w:id="3399405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2021-10-09T01:40:00Z</dcterms:created>
  <dcterms:modified xsi:type="dcterms:W3CDTF">2021-10-09T01:41:00Z</dcterms:modified>
</cp:coreProperties>
</file>