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6E" w:rsidRPr="00C9496E" w:rsidRDefault="00C9496E" w:rsidP="00C9496E">
      <w:pPr>
        <w:widowControl/>
        <w:shd w:val="clear" w:color="auto" w:fill="FFFBE9"/>
        <w:spacing w:before="368" w:beforeAutospacing="0" w:after="0" w:afterAutospacing="0" w:line="368"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索 引 号：FJ00105-0302-2007-00293</w:t>
      </w:r>
    </w:p>
    <w:p w:rsidR="00C9496E" w:rsidRPr="00C9496E" w:rsidRDefault="00C9496E" w:rsidP="00C9496E">
      <w:pPr>
        <w:widowControl/>
        <w:shd w:val="clear" w:color="auto" w:fill="FFFBE9"/>
        <w:spacing w:before="0" w:beforeAutospacing="0" w:after="0" w:afterAutospacing="0" w:line="368"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发文日期：2007-04-28 00:00:00</w:t>
      </w:r>
    </w:p>
    <w:p w:rsidR="00C9496E" w:rsidRPr="00C9496E" w:rsidRDefault="00C9496E" w:rsidP="00C9496E">
      <w:pPr>
        <w:widowControl/>
        <w:shd w:val="clear" w:color="auto" w:fill="FFFBE9"/>
        <w:spacing w:before="0" w:beforeAutospacing="0" w:after="0" w:afterAutospacing="0" w:line="368"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发布机构：福建省科技厅</w:t>
      </w:r>
    </w:p>
    <w:p w:rsidR="00C9496E" w:rsidRPr="00C9496E" w:rsidRDefault="00C9496E" w:rsidP="00C9496E">
      <w:pPr>
        <w:widowControl/>
        <w:shd w:val="clear" w:color="auto" w:fill="FFFBE9"/>
        <w:spacing w:before="0" w:beforeAutospacing="0" w:after="0" w:afterAutospacing="0" w:line="368"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文     号：闽科计〔2007〕19号</w:t>
      </w:r>
    </w:p>
    <w:p w:rsidR="00C9496E" w:rsidRPr="00C9496E" w:rsidRDefault="00C9496E" w:rsidP="00C9496E">
      <w:pPr>
        <w:widowControl/>
        <w:shd w:val="clear" w:color="auto" w:fill="FFFFFF"/>
        <w:spacing w:line="368" w:lineRule="atLeast"/>
        <w:jc w:val="left"/>
        <w:outlineLvl w:val="3"/>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福建省科学技术厅关于印发福建省工程技术研究中心管理细则的通知</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各有关单位：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为了加强和规范省级工程技术研究中心的管理，推进我省工程技术研究中心健康发展，现将《福建省工程技术研究中心管理细则》印发你们，请认真贯彻执行。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二○○七年四月二十八日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福建省工程技术研究中心管理细则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为了加强和规范省级工程技术研究中心的建设和管理，提高产业关键共性技术和重大科技成果的工程化、产业化能力，充分发挥其在工程化技术研发、人才培养、成果转化等方面的作用，根据《福建省科技创新平台建设计划管理办法》和《国家工程技术研究中心暂行管理办法》，制定本细则。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第一条 省级工程技术研究中心宗旨：根据我省产业发展的需求，研究开发产业关键共性技术，推动科技成果转化；面向规模生产需求，促进关键共性技术配套集成，</w:t>
      </w:r>
      <w:r w:rsidRPr="00C9496E">
        <w:rPr>
          <w:rFonts w:ascii="微软雅黑" w:eastAsia="微软雅黑" w:hAnsi="微软雅黑" w:cs="宋体" w:hint="eastAsia"/>
          <w:color w:val="333333"/>
          <w:kern w:val="0"/>
          <w:sz w:val="23"/>
          <w:szCs w:val="23"/>
        </w:rPr>
        <w:lastRenderedPageBreak/>
        <w:t xml:space="preserve">并向相关行业辐射、转移与扩散；建设具有特色优势的工程化实验条件，培养工程技术专业人才。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第二条 省级工程研究中心主要任务：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（一） 将具有重要应用前景的科研成果进行系统化、配套化和工程化研究开发，提供可规模化推广应用的技术、工艺和产品。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（二） 开展引进技术的消化、吸收和创新，为行业科技进步提供支持。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（三） 实行开放服务，接受工程技术研究、设计和试验的委托任务，并对外提供技术咨询服务。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（四）  培养行业或领域需要的高素质工程化研发人员和工程管理技术人员。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第三条 省级工程技术研究中心应具备基本条件：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1、具有技术优势。在该技术领域内，在国内同行业中有一定影响，具有雄厚科研与开发实力，已承担、完成国家或省科技计划项目任务，取得一批先进适用的科技成果。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2、具有专职工作团队。专职从事工程技术研究或技术服务的人员一般不少于15人，其中高中级职称专业人员占50%以上；拥有技术水平高、工程化实践经验丰富的工程技术带头人，年龄不超过60岁。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3、具有较好基础条件。具备科研成果工程化所需要的测试手段、实验设备、试验条件和科研开发场所等基础设施。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4、具有一定工程化经验。已从事工程化研究开发和技术服务一年以上，有较强的项目管理能力和可持续发展的运行机制。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5、具有较好财务管理能力。财务管理规范，单独设账，单独核算，并有较强的资金筹措能力。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lastRenderedPageBreak/>
        <w:t xml:space="preserve">    第四条 省级工程技术研究中心命名规则：福建省XXXXXX工程技术研究中心。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第五条 凡符合省级工程技术研究中心基本条件要求的在闽企事业单位和机构，可申请省级工程技术研究中心的评估。申请者须填报提交《福建省工程技术研究中心评估申请表》，经主管部门审核后，报送省科技厅发展计划处。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第六条 省科技厅发展计划处组织专家或委托有关机构对申请材料进行形式审查，实地核查申请材料和数据，并依据《福建省工程技术研究中心评估指标体系》（另发）对工程技术研究中心运行状况进行综合评估，形成评估报告。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第七条 评估报告经省科技厅相关业务处室审核，省科技厅发展计划处汇总，报厅长办公会议审定。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第八条 评估结果在福建科技网等媒体公告。评估合格者，省科技厅授予“省级工程技术研究中心”的匾牌，并纳入省科技创新平台管理体系。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第九条 省级工程技术研究中心应在每年1月31日前，向省科技厅报送上一年度工作总结和本年度工作计划。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第十条 省科技厅每两年进行一次评估。评估优秀的省级工程技术研究中心可优先获得省科技计划项目支持，优先获得科技创新平台建设经费支持和鼓励，并择优推荐申报国家级工程技术研究中心。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第十一条 对于评估不合格者，限期半年整改，整改后再评估不通过者，撤消省级工程技术研究中心称号，不再纳入省科技创新平台管理体系，并在福建科技网公告。逾期不报送评估材料者视为自动退出省科技创新平台管理体系。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    第十二条 本细则未尽事项按《福建省科技创新平台建设计划管理办法》执行。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主题词：科技  印发  机构  细则  通知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t xml:space="preserve">抄送：本厅领导。 </w:t>
      </w:r>
    </w:p>
    <w:p w:rsidR="00C9496E" w:rsidRPr="00C9496E" w:rsidRDefault="00C9496E" w:rsidP="00C9496E">
      <w:pPr>
        <w:widowControl/>
        <w:shd w:val="clear" w:color="auto" w:fill="FFFFFF"/>
        <w:spacing w:before="0" w:beforeAutospacing="0" w:after="0" w:afterAutospacing="0" w:line="536" w:lineRule="atLeast"/>
        <w:jc w:val="left"/>
        <w:rPr>
          <w:rFonts w:ascii="微软雅黑" w:eastAsia="微软雅黑" w:hAnsi="微软雅黑" w:cs="宋体"/>
          <w:color w:val="333333"/>
          <w:kern w:val="0"/>
          <w:sz w:val="23"/>
          <w:szCs w:val="23"/>
        </w:rPr>
      </w:pPr>
      <w:r w:rsidRPr="00C9496E">
        <w:rPr>
          <w:rFonts w:ascii="微软雅黑" w:eastAsia="微软雅黑" w:hAnsi="微软雅黑" w:cs="宋体" w:hint="eastAsia"/>
          <w:color w:val="333333"/>
          <w:kern w:val="0"/>
          <w:sz w:val="23"/>
          <w:szCs w:val="23"/>
        </w:rPr>
        <w:lastRenderedPageBreak/>
        <w:t>福建省科学技术厅办公室         2007年4月29日印发</w:t>
      </w:r>
    </w:p>
    <w:p w:rsidR="00F25072" w:rsidRDefault="00F25072"/>
    <w:sectPr w:rsidR="00F25072" w:rsidSect="00F250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ECE" w:rsidRDefault="00EC7ECE" w:rsidP="007032E6">
      <w:pPr>
        <w:spacing w:before="0" w:after="0" w:line="240" w:lineRule="auto"/>
      </w:pPr>
      <w:r>
        <w:separator/>
      </w:r>
    </w:p>
  </w:endnote>
  <w:endnote w:type="continuationSeparator" w:id="1">
    <w:p w:rsidR="00EC7ECE" w:rsidRDefault="00EC7ECE" w:rsidP="007032E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ECE" w:rsidRDefault="00EC7ECE" w:rsidP="007032E6">
      <w:pPr>
        <w:spacing w:before="0" w:after="0" w:line="240" w:lineRule="auto"/>
      </w:pPr>
      <w:r>
        <w:separator/>
      </w:r>
    </w:p>
  </w:footnote>
  <w:footnote w:type="continuationSeparator" w:id="1">
    <w:p w:rsidR="00EC7ECE" w:rsidRDefault="00EC7ECE" w:rsidP="007032E6">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96E"/>
    <w:rsid w:val="00021078"/>
    <w:rsid w:val="00032142"/>
    <w:rsid w:val="00045B51"/>
    <w:rsid w:val="0006078F"/>
    <w:rsid w:val="00092EE3"/>
    <w:rsid w:val="000C6E59"/>
    <w:rsid w:val="000D7EDF"/>
    <w:rsid w:val="001775C4"/>
    <w:rsid w:val="00200184"/>
    <w:rsid w:val="002407BF"/>
    <w:rsid w:val="00342EC4"/>
    <w:rsid w:val="00356EF5"/>
    <w:rsid w:val="003703F5"/>
    <w:rsid w:val="0039063B"/>
    <w:rsid w:val="003D368C"/>
    <w:rsid w:val="003F60B1"/>
    <w:rsid w:val="00423C96"/>
    <w:rsid w:val="004618A1"/>
    <w:rsid w:val="00470CAF"/>
    <w:rsid w:val="004A3C4B"/>
    <w:rsid w:val="00571759"/>
    <w:rsid w:val="005750D4"/>
    <w:rsid w:val="005A35B8"/>
    <w:rsid w:val="006059EA"/>
    <w:rsid w:val="0061739F"/>
    <w:rsid w:val="00691F8F"/>
    <w:rsid w:val="006A46D0"/>
    <w:rsid w:val="006B2487"/>
    <w:rsid w:val="006B37DB"/>
    <w:rsid w:val="007032E6"/>
    <w:rsid w:val="0070656E"/>
    <w:rsid w:val="0072396D"/>
    <w:rsid w:val="00796F98"/>
    <w:rsid w:val="007B5889"/>
    <w:rsid w:val="00845594"/>
    <w:rsid w:val="0084585F"/>
    <w:rsid w:val="008E2209"/>
    <w:rsid w:val="009402CD"/>
    <w:rsid w:val="00A53525"/>
    <w:rsid w:val="00AB6E00"/>
    <w:rsid w:val="00B3473F"/>
    <w:rsid w:val="00B61FE8"/>
    <w:rsid w:val="00BC4E53"/>
    <w:rsid w:val="00C9496E"/>
    <w:rsid w:val="00CC571F"/>
    <w:rsid w:val="00D32765"/>
    <w:rsid w:val="00D41DF1"/>
    <w:rsid w:val="00D555E9"/>
    <w:rsid w:val="00D91DF3"/>
    <w:rsid w:val="00DA3FDB"/>
    <w:rsid w:val="00DF6EB1"/>
    <w:rsid w:val="00E5263A"/>
    <w:rsid w:val="00EC7ECE"/>
    <w:rsid w:val="00F25072"/>
    <w:rsid w:val="00F64B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72"/>
    <w:pPr>
      <w:widowControl w:val="0"/>
      <w:jc w:val="both"/>
    </w:pPr>
  </w:style>
  <w:style w:type="paragraph" w:styleId="4">
    <w:name w:val="heading 4"/>
    <w:basedOn w:val="a"/>
    <w:link w:val="4Char"/>
    <w:uiPriority w:val="9"/>
    <w:qFormat/>
    <w:rsid w:val="00C9496E"/>
    <w:pPr>
      <w:widowControl/>
      <w:spacing w:line="240" w:lineRule="auto"/>
      <w:jc w:val="left"/>
      <w:outlineLvl w:val="3"/>
    </w:pPr>
    <w:rPr>
      <w:rFonts w:ascii="宋体" w:eastAsia="宋体" w:hAnsi="宋体" w:cs="宋体"/>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C9496E"/>
    <w:rPr>
      <w:rFonts w:ascii="宋体" w:eastAsia="宋体" w:hAnsi="宋体" w:cs="宋体"/>
      <w:kern w:val="0"/>
      <w:sz w:val="23"/>
      <w:szCs w:val="23"/>
    </w:rPr>
  </w:style>
  <w:style w:type="character" w:styleId="a3">
    <w:name w:val="Hyperlink"/>
    <w:basedOn w:val="a0"/>
    <w:uiPriority w:val="99"/>
    <w:semiHidden/>
    <w:unhideWhenUsed/>
    <w:rsid w:val="00C9496E"/>
    <w:rPr>
      <w:strike w:val="0"/>
      <w:dstrike w:val="0"/>
      <w:color w:val="333333"/>
      <w:u w:val="none"/>
      <w:effect w:val="none"/>
    </w:rPr>
  </w:style>
  <w:style w:type="paragraph" w:styleId="a4">
    <w:name w:val="Normal (Web)"/>
    <w:basedOn w:val="a"/>
    <w:uiPriority w:val="99"/>
    <w:semiHidden/>
    <w:unhideWhenUsed/>
    <w:rsid w:val="00C9496E"/>
    <w:pPr>
      <w:widowControl/>
      <w:spacing w:before="0" w:beforeAutospacing="0" w:after="0" w:afterAutospacing="0" w:line="240" w:lineRule="auto"/>
      <w:jc w:val="left"/>
    </w:pPr>
    <w:rPr>
      <w:rFonts w:ascii="宋体" w:eastAsia="宋体" w:hAnsi="宋体" w:cs="宋体"/>
      <w:kern w:val="0"/>
      <w:sz w:val="24"/>
      <w:szCs w:val="24"/>
    </w:rPr>
  </w:style>
  <w:style w:type="character" w:customStyle="1" w:styleId="m-r-211">
    <w:name w:val="m-r-211"/>
    <w:basedOn w:val="a0"/>
    <w:rsid w:val="00C9496E"/>
  </w:style>
  <w:style w:type="paragraph" w:styleId="a5">
    <w:name w:val="header"/>
    <w:basedOn w:val="a"/>
    <w:link w:val="Char"/>
    <w:uiPriority w:val="99"/>
    <w:semiHidden/>
    <w:unhideWhenUsed/>
    <w:rsid w:val="007032E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7032E6"/>
    <w:rPr>
      <w:sz w:val="18"/>
      <w:szCs w:val="18"/>
    </w:rPr>
  </w:style>
  <w:style w:type="paragraph" w:styleId="a6">
    <w:name w:val="footer"/>
    <w:basedOn w:val="a"/>
    <w:link w:val="Char0"/>
    <w:uiPriority w:val="99"/>
    <w:semiHidden/>
    <w:unhideWhenUsed/>
    <w:rsid w:val="007032E6"/>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semiHidden/>
    <w:rsid w:val="007032E6"/>
    <w:rPr>
      <w:sz w:val="18"/>
      <w:szCs w:val="18"/>
    </w:rPr>
  </w:style>
</w:styles>
</file>

<file path=word/webSettings.xml><?xml version="1.0" encoding="utf-8"?>
<w:webSettings xmlns:r="http://schemas.openxmlformats.org/officeDocument/2006/relationships" xmlns:w="http://schemas.openxmlformats.org/wordprocessingml/2006/main">
  <w:divs>
    <w:div w:id="492379170">
      <w:bodyDiv w:val="1"/>
      <w:marLeft w:val="0"/>
      <w:marRight w:val="0"/>
      <w:marTop w:val="0"/>
      <w:marBottom w:val="0"/>
      <w:divBdr>
        <w:top w:val="none" w:sz="0" w:space="0" w:color="auto"/>
        <w:left w:val="none" w:sz="0" w:space="0" w:color="auto"/>
        <w:bottom w:val="none" w:sz="0" w:space="0" w:color="auto"/>
        <w:right w:val="none" w:sz="0" w:space="0" w:color="auto"/>
      </w:divBdr>
      <w:divsChild>
        <w:div w:id="832841504">
          <w:marLeft w:val="0"/>
          <w:marRight w:val="0"/>
          <w:marTop w:val="0"/>
          <w:marBottom w:val="0"/>
          <w:divBdr>
            <w:top w:val="none" w:sz="0" w:space="0" w:color="auto"/>
            <w:left w:val="none" w:sz="0" w:space="0" w:color="auto"/>
            <w:bottom w:val="none" w:sz="0" w:space="0" w:color="auto"/>
            <w:right w:val="none" w:sz="0" w:space="0" w:color="auto"/>
          </w:divBdr>
          <w:divsChild>
            <w:div w:id="374084210">
              <w:marLeft w:val="0"/>
              <w:marRight w:val="0"/>
              <w:marTop w:val="0"/>
              <w:marBottom w:val="0"/>
              <w:divBdr>
                <w:top w:val="none" w:sz="0" w:space="0" w:color="auto"/>
                <w:left w:val="none" w:sz="0" w:space="0" w:color="auto"/>
                <w:bottom w:val="none" w:sz="0" w:space="0" w:color="auto"/>
                <w:right w:val="none" w:sz="0" w:space="0" w:color="auto"/>
              </w:divBdr>
              <w:divsChild>
                <w:div w:id="303432420">
                  <w:marLeft w:val="335"/>
                  <w:marRight w:val="0"/>
                  <w:marTop w:val="368"/>
                  <w:marBottom w:val="0"/>
                  <w:divBdr>
                    <w:top w:val="single" w:sz="6" w:space="0" w:color="FFD99D"/>
                    <w:left w:val="single" w:sz="6" w:space="31" w:color="FFD99D"/>
                    <w:bottom w:val="single" w:sz="6" w:space="0" w:color="FFD99D"/>
                    <w:right w:val="single" w:sz="6" w:space="31" w:color="FFD99D"/>
                  </w:divBdr>
                  <w:divsChild>
                    <w:div w:id="1293712927">
                      <w:marLeft w:val="0"/>
                      <w:marRight w:val="0"/>
                      <w:marTop w:val="0"/>
                      <w:marBottom w:val="0"/>
                      <w:divBdr>
                        <w:top w:val="none" w:sz="0" w:space="0" w:color="auto"/>
                        <w:left w:val="none" w:sz="0" w:space="0" w:color="auto"/>
                        <w:bottom w:val="none" w:sz="0" w:space="0" w:color="auto"/>
                        <w:right w:val="none" w:sz="0" w:space="0" w:color="auto"/>
                      </w:divBdr>
                      <w:divsChild>
                        <w:div w:id="491918078">
                          <w:marLeft w:val="0"/>
                          <w:marRight w:val="0"/>
                          <w:marTop w:val="0"/>
                          <w:marBottom w:val="0"/>
                          <w:divBdr>
                            <w:top w:val="none" w:sz="0" w:space="0" w:color="auto"/>
                            <w:left w:val="none" w:sz="0" w:space="0" w:color="auto"/>
                            <w:bottom w:val="none" w:sz="0" w:space="0" w:color="auto"/>
                            <w:right w:val="none" w:sz="0" w:space="0" w:color="auto"/>
                          </w:divBdr>
                        </w:div>
                        <w:div w:id="9393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7808">
                  <w:marLeft w:val="352"/>
                  <w:marRight w:val="352"/>
                  <w:marTop w:val="0"/>
                  <w:marBottom w:val="0"/>
                  <w:divBdr>
                    <w:top w:val="none" w:sz="0" w:space="0" w:color="auto"/>
                    <w:left w:val="none" w:sz="0" w:space="0" w:color="auto"/>
                    <w:bottom w:val="dashed" w:sz="6" w:space="0" w:color="C4C3C3"/>
                    <w:right w:val="none" w:sz="0" w:space="0" w:color="auto"/>
                  </w:divBdr>
                </w:div>
                <w:div w:id="1073577363">
                  <w:marLeft w:val="0"/>
                  <w:marRight w:val="0"/>
                  <w:marTop w:val="0"/>
                  <w:marBottom w:val="0"/>
                  <w:divBdr>
                    <w:top w:val="none" w:sz="0" w:space="0" w:color="auto"/>
                    <w:left w:val="none" w:sz="0" w:space="0" w:color="auto"/>
                    <w:bottom w:val="none" w:sz="0" w:space="0" w:color="auto"/>
                    <w:right w:val="none" w:sz="0" w:space="0" w:color="auto"/>
                  </w:divBdr>
                  <w:divsChild>
                    <w:div w:id="10408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306</Words>
  <Characters>1748</Characters>
  <Application>Microsoft Office Word</Application>
  <DocSecurity>0</DocSecurity>
  <Lines>14</Lines>
  <Paragraphs>4</Paragraphs>
  <ScaleCrop>false</ScaleCrop>
  <Company>微软中国</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asus</cp:lastModifiedBy>
  <cp:revision>2</cp:revision>
  <dcterms:created xsi:type="dcterms:W3CDTF">2017-03-23T01:27:00Z</dcterms:created>
  <dcterms:modified xsi:type="dcterms:W3CDTF">2019-04-10T02:23:00Z</dcterms:modified>
</cp:coreProperties>
</file>